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8D6" w:rsidRDefault="00B60057">
      <w:pPr>
        <w:rPr>
          <w:b/>
        </w:rPr>
      </w:pPr>
      <w:r w:rsidRPr="00B60057">
        <w:rPr>
          <w:b/>
        </w:rPr>
        <w:t>Index of Multiple Deprivation (IMD) results for Leeds wards</w:t>
      </w:r>
    </w:p>
    <w:p w:rsidR="00B60057" w:rsidRDefault="00B60057">
      <w:r w:rsidRPr="00B60057">
        <w:t>Leeds wards ranked by the number of LSOAs (Lower Layer Super Output Areas</w:t>
      </w:r>
      <w:r>
        <w:rPr>
          <w:rStyle w:val="FootnoteReference"/>
        </w:rPr>
        <w:footnoteReference w:id="1"/>
      </w:r>
      <w:r w:rsidRPr="00B60057">
        <w:t>) in the most deprived 10% in England.</w:t>
      </w:r>
      <w:r w:rsidR="00C44EA2">
        <w:t xml:space="preserve"> Some LSOAs cross over ward boundaries so are allocated to the ward with the majority of residents.</w:t>
      </w:r>
      <w:bookmarkStart w:id="0" w:name="_GoBack"/>
      <w:bookmarkEnd w:id="0"/>
    </w:p>
    <w:p w:rsidR="00B60057" w:rsidRPr="00B60057" w:rsidRDefault="00B60057">
      <w:r>
        <w:rPr>
          <w:noProof/>
          <w:lang w:eastAsia="en-GB"/>
        </w:rPr>
        <w:drawing>
          <wp:inline distT="0" distB="0" distL="0" distR="0" wp14:anchorId="6866636A" wp14:editId="148413D3">
            <wp:extent cx="5731510" cy="6619875"/>
            <wp:effectExtent l="0" t="0" r="254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B60057" w:rsidRPr="00B60057" w:rsidSect="00C44E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057" w:rsidRDefault="00B60057" w:rsidP="00B60057">
      <w:pPr>
        <w:spacing w:after="0" w:line="240" w:lineRule="auto"/>
      </w:pPr>
      <w:r>
        <w:separator/>
      </w:r>
    </w:p>
  </w:endnote>
  <w:endnote w:type="continuationSeparator" w:id="0">
    <w:p w:rsidR="00B60057" w:rsidRDefault="00B60057" w:rsidP="00B6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057" w:rsidRDefault="00B60057" w:rsidP="00B60057">
      <w:pPr>
        <w:spacing w:after="0" w:line="240" w:lineRule="auto"/>
      </w:pPr>
      <w:r>
        <w:separator/>
      </w:r>
    </w:p>
  </w:footnote>
  <w:footnote w:type="continuationSeparator" w:id="0">
    <w:p w:rsidR="00B60057" w:rsidRDefault="00B60057" w:rsidP="00B60057">
      <w:pPr>
        <w:spacing w:after="0" w:line="240" w:lineRule="auto"/>
      </w:pPr>
      <w:r>
        <w:continuationSeparator/>
      </w:r>
    </w:p>
  </w:footnote>
  <w:footnote w:id="1">
    <w:p w:rsidR="00B60057" w:rsidRPr="00B60057" w:rsidRDefault="00B60057" w:rsidP="00B60057">
      <w:pPr>
        <w:pStyle w:val="NormalWeb"/>
        <w:spacing w:before="0" w:beforeAutospacing="0" w:after="0" w:afterAutospacing="0"/>
        <w:rPr>
          <w:rFonts w:ascii="Calibri" w:hAnsi="Calibri"/>
          <w:color w:val="323232"/>
          <w:sz w:val="20"/>
          <w:szCs w:val="20"/>
        </w:rPr>
      </w:pPr>
      <w:r>
        <w:rPr>
          <w:rStyle w:val="FootnoteReference"/>
        </w:rPr>
        <w:footnoteRef/>
      </w:r>
      <w:r>
        <w:t xml:space="preserve"> </w:t>
      </w:r>
      <w:r w:rsidRPr="00B60057">
        <w:rPr>
          <w:rFonts w:ascii="Calibri" w:hAnsi="Calibri"/>
          <w:color w:val="323232"/>
          <w:sz w:val="20"/>
          <w:szCs w:val="20"/>
        </w:rPr>
        <w:t>LSOAs (Lower Layer Super Output Areas) are small areas designed to be of a similar population size, with an average of approximately 1,500 residents or 650 households. They were produced by the Office for National Statistics for the reporting of small area statistics and are a standard way of dividing up the country. For ease of communication, LSOAs are sometimes referred to as ‘neighbourhoods’ or ‘small areas’.</w:t>
      </w:r>
    </w:p>
    <w:p w:rsidR="00B60057" w:rsidRPr="00B60057" w:rsidRDefault="00B6005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57"/>
    <w:rsid w:val="00B238D6"/>
    <w:rsid w:val="00B60057"/>
    <w:rsid w:val="00C44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D7245-A528-46CB-9D0C-93EB8F42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0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0057"/>
    <w:rPr>
      <w:sz w:val="20"/>
      <w:szCs w:val="20"/>
    </w:rPr>
  </w:style>
  <w:style w:type="character" w:styleId="FootnoteReference">
    <w:name w:val="footnote reference"/>
    <w:basedOn w:val="DefaultParagraphFont"/>
    <w:uiPriority w:val="99"/>
    <w:semiHidden/>
    <w:unhideWhenUsed/>
    <w:rsid w:val="00B60057"/>
    <w:rPr>
      <w:vertAlign w:val="superscript"/>
    </w:rPr>
  </w:style>
  <w:style w:type="paragraph" w:styleId="NormalWeb">
    <w:name w:val="Normal (Web)"/>
    <w:basedOn w:val="Normal"/>
    <w:uiPriority w:val="99"/>
    <w:semiHidden/>
    <w:unhideWhenUsed/>
    <w:rsid w:val="00B600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57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netapp04-cifs\lcc012\PPIXX\GIS\2018\Projects\012_NewObservatory\Media%20for%20IMD\New%20bar%20chart%20matrix.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GB"/>
              <a:t>2018 Leeds wards - number of LSOAs in most deprived 10% nationally</a:t>
            </a:r>
          </a:p>
        </c:rich>
      </c:tx>
      <c:layout/>
      <c:overlay val="0"/>
    </c:title>
    <c:autoTitleDeleted val="0"/>
    <c:plotArea>
      <c:layout/>
      <c:barChart>
        <c:barDir val="bar"/>
        <c:grouping val="stacked"/>
        <c:varyColors val="0"/>
        <c:ser>
          <c:idx val="0"/>
          <c:order val="0"/>
          <c:tx>
            <c:v>Most deprived 10%</c:v>
          </c:tx>
          <c:spPr>
            <a:ln>
              <a:solidFill>
                <a:sysClr val="window" lastClr="FFFFFF"/>
              </a:solidFill>
            </a:ln>
          </c:spPr>
          <c:invertIfNegative val="0"/>
          <c:dLbls>
            <c:dLbl>
              <c:idx val="0"/>
              <c:layout/>
              <c:dLblPos val="inBase"/>
              <c:showLegendKey val="0"/>
              <c:showVal val="1"/>
              <c:showCatName val="0"/>
              <c:showSerName val="0"/>
              <c:showPercent val="0"/>
              <c:showBubbleSize val="0"/>
              <c:extLst>
                <c:ext xmlns:c15="http://schemas.microsoft.com/office/drawing/2012/chart" uri="{CE6537A1-D6FC-4f65-9D91-7224C49458BB}">
                  <c15:layout/>
                </c:ext>
              </c:extLst>
            </c:dLbl>
            <c:dLbl>
              <c:idx val="1"/>
              <c:layout/>
              <c:dLblPos val="inBase"/>
              <c:showLegendKey val="0"/>
              <c:showVal val="1"/>
              <c:showCatName val="0"/>
              <c:showSerName val="0"/>
              <c:showPercent val="0"/>
              <c:showBubbleSize val="0"/>
              <c:extLst>
                <c:ext xmlns:c15="http://schemas.microsoft.com/office/drawing/2012/chart" uri="{CE6537A1-D6FC-4f65-9D91-7224C49458BB}">
                  <c15:layout/>
                </c:ext>
              </c:extLst>
            </c:dLbl>
            <c:dLbl>
              <c:idx val="2"/>
              <c:layout/>
              <c:dLblPos val="inBase"/>
              <c:showLegendKey val="0"/>
              <c:showVal val="1"/>
              <c:showCatName val="0"/>
              <c:showSerName val="0"/>
              <c:showPercent val="0"/>
              <c:showBubbleSize val="0"/>
              <c:extLst>
                <c:ext xmlns:c15="http://schemas.microsoft.com/office/drawing/2012/chart" uri="{CE6537A1-D6FC-4f65-9D91-7224C49458BB}">
                  <c15:layout/>
                </c:ext>
              </c:extLst>
            </c:dLbl>
            <c:dLbl>
              <c:idx val="3"/>
              <c:layout/>
              <c:dLblPos val="inBase"/>
              <c:showLegendKey val="0"/>
              <c:showVal val="1"/>
              <c:showCatName val="0"/>
              <c:showSerName val="0"/>
              <c:showPercent val="0"/>
              <c:showBubbleSize val="0"/>
              <c:extLst>
                <c:ext xmlns:c15="http://schemas.microsoft.com/office/drawing/2012/chart" uri="{CE6537A1-D6FC-4f65-9D91-7224C49458BB}">
                  <c15:layout/>
                </c:ext>
              </c:extLst>
            </c:dLbl>
            <c:dLbl>
              <c:idx val="4"/>
              <c:layout/>
              <c:dLblPos val="inBase"/>
              <c:showLegendKey val="0"/>
              <c:showVal val="1"/>
              <c:showCatName val="0"/>
              <c:showSerName val="0"/>
              <c:showPercent val="0"/>
              <c:showBubbleSize val="0"/>
              <c:extLst>
                <c:ext xmlns:c15="http://schemas.microsoft.com/office/drawing/2012/chart" uri="{CE6537A1-D6FC-4f65-9D91-7224C49458BB}">
                  <c15:layout/>
                </c:ext>
              </c:extLst>
            </c:dLbl>
            <c:dLbl>
              <c:idx val="5"/>
              <c:layout/>
              <c:dLblPos val="inBase"/>
              <c:showLegendKey val="0"/>
              <c:showVal val="1"/>
              <c:showCatName val="0"/>
              <c:showSerName val="0"/>
              <c:showPercent val="0"/>
              <c:showBubbleSize val="0"/>
              <c:extLst>
                <c:ext xmlns:c15="http://schemas.microsoft.com/office/drawing/2012/chart" uri="{CE6537A1-D6FC-4f65-9D91-7224C49458BB}">
                  <c15:layout/>
                </c:ext>
              </c:extLst>
            </c:dLbl>
            <c:dLbl>
              <c:idx val="6"/>
              <c:layout/>
              <c:dLblPos val="inBase"/>
              <c:showLegendKey val="0"/>
              <c:showVal val="1"/>
              <c:showCatName val="0"/>
              <c:showSerName val="0"/>
              <c:showPercent val="0"/>
              <c:showBubbleSize val="0"/>
              <c:extLst>
                <c:ext xmlns:c15="http://schemas.microsoft.com/office/drawing/2012/chart" uri="{CE6537A1-D6FC-4f65-9D91-7224C49458BB}">
                  <c15:layout/>
                </c:ext>
              </c:extLst>
            </c:dLbl>
            <c:dLbl>
              <c:idx val="7"/>
              <c:layout/>
              <c:dLblPos val="inBase"/>
              <c:showLegendKey val="0"/>
              <c:showVal val="1"/>
              <c:showCatName val="0"/>
              <c:showSerName val="0"/>
              <c:showPercent val="0"/>
              <c:showBubbleSize val="0"/>
              <c:extLst>
                <c:ext xmlns:c15="http://schemas.microsoft.com/office/drawing/2012/chart" uri="{CE6537A1-D6FC-4f65-9D91-7224C49458BB}">
                  <c15:layout/>
                </c:ext>
              </c:extLst>
            </c:dLbl>
            <c:dLbl>
              <c:idx val="8"/>
              <c:layout/>
              <c:dLblPos val="inBase"/>
              <c:showLegendKey val="0"/>
              <c:showVal val="1"/>
              <c:showCatName val="0"/>
              <c:showSerName val="0"/>
              <c:showPercent val="0"/>
              <c:showBubbleSize val="0"/>
              <c:extLst>
                <c:ext xmlns:c15="http://schemas.microsoft.com/office/drawing/2012/chart" uri="{CE6537A1-D6FC-4f65-9D91-7224C49458BB}">
                  <c15:layout/>
                </c:ext>
              </c:extLst>
            </c:dLbl>
            <c:dLbl>
              <c:idx val="9"/>
              <c:layout/>
              <c:dLblPos val="inBase"/>
              <c:showLegendKey val="0"/>
              <c:showVal val="1"/>
              <c:showCatName val="0"/>
              <c:showSerName val="0"/>
              <c:showPercent val="0"/>
              <c:showBubbleSize val="0"/>
              <c:extLst>
                <c:ext xmlns:c15="http://schemas.microsoft.com/office/drawing/2012/chart" uri="{CE6537A1-D6FC-4f65-9D91-7224C49458BB}">
                  <c15:layout/>
                </c:ext>
              </c:extLst>
            </c:dLbl>
            <c:dLbl>
              <c:idx val="10"/>
              <c:layout/>
              <c:dLblPos val="inBase"/>
              <c:showLegendKey val="0"/>
              <c:showVal val="1"/>
              <c:showCatName val="0"/>
              <c:showSerName val="0"/>
              <c:showPercent val="0"/>
              <c:showBubbleSize val="0"/>
              <c:extLst>
                <c:ext xmlns:c15="http://schemas.microsoft.com/office/drawing/2012/chart" uri="{CE6537A1-D6FC-4f65-9D91-7224C49458BB}">
                  <c15:layout/>
                </c:ext>
              </c:extLst>
            </c:dLbl>
            <c:dLbl>
              <c:idx val="11"/>
              <c:layout/>
              <c:dLblPos val="inBase"/>
              <c:showLegendKey val="0"/>
              <c:showVal val="1"/>
              <c:showCatName val="0"/>
              <c:showSerName val="0"/>
              <c:showPercent val="0"/>
              <c:showBubbleSize val="0"/>
              <c:extLst>
                <c:ext xmlns:c15="http://schemas.microsoft.com/office/drawing/2012/chart" uri="{CE6537A1-D6FC-4f65-9D91-7224C49458BB}">
                  <c15:layout/>
                </c:ext>
              </c:extLst>
            </c:dLbl>
            <c:dLbl>
              <c:idx val="12"/>
              <c:layout/>
              <c:dLblPos val="inBase"/>
              <c:showLegendKey val="0"/>
              <c:showVal val="1"/>
              <c:showCatName val="0"/>
              <c:showSerName val="0"/>
              <c:showPercent val="0"/>
              <c:showBubbleSize val="0"/>
              <c:extLst>
                <c:ext xmlns:c15="http://schemas.microsoft.com/office/drawing/2012/chart" uri="{CE6537A1-D6FC-4f65-9D91-7224C49458BB}">
                  <c15:layout/>
                </c:ext>
              </c:extLst>
            </c:dLbl>
            <c:dLbl>
              <c:idx val="13"/>
              <c:layout/>
              <c:dLblPos val="inBase"/>
              <c:showLegendKey val="0"/>
              <c:showVal val="1"/>
              <c:showCatName val="0"/>
              <c:showSerName val="0"/>
              <c:showPercent val="0"/>
              <c:showBubbleSize val="0"/>
              <c:extLst>
                <c:ext xmlns:c15="http://schemas.microsoft.com/office/drawing/2012/chart" uri="{CE6537A1-D6FC-4f65-9D91-7224C49458BB}">
                  <c15:layout/>
                </c:ext>
              </c:extLst>
            </c:dLbl>
            <c:dLbl>
              <c:idx val="14"/>
              <c:layout/>
              <c:dLblPos val="inBase"/>
              <c:showLegendKey val="0"/>
              <c:showVal val="1"/>
              <c:showCatName val="0"/>
              <c:showSerName val="0"/>
              <c:showPercent val="0"/>
              <c:showBubbleSize val="0"/>
              <c:extLst>
                <c:ext xmlns:c15="http://schemas.microsoft.com/office/drawing/2012/chart" uri="{CE6537A1-D6FC-4f65-9D91-7224C49458BB}">
                  <c15:layout/>
                </c:ext>
              </c:extLst>
            </c:dLbl>
            <c:dLbl>
              <c:idx val="15"/>
              <c:layout/>
              <c:dLblPos val="inBase"/>
              <c:showLegendKey val="0"/>
              <c:showVal val="1"/>
              <c:showCatName val="0"/>
              <c:showSerName val="0"/>
              <c:showPercent val="0"/>
              <c:showBubbleSize val="0"/>
              <c:extLst>
                <c:ext xmlns:c15="http://schemas.microsoft.com/office/drawing/2012/chart" uri="{CE6537A1-D6FC-4f65-9D91-7224C49458BB}">
                  <c15:layout/>
                </c:ext>
              </c:extLst>
            </c:dLbl>
            <c:dLbl>
              <c:idx val="16"/>
              <c:layout/>
              <c:dLblPos val="inBase"/>
              <c:showLegendKey val="0"/>
              <c:showVal val="1"/>
              <c:showCatName val="0"/>
              <c:showSerName val="0"/>
              <c:showPercent val="0"/>
              <c:showBubbleSize val="0"/>
              <c:extLst>
                <c:ext xmlns:c15="http://schemas.microsoft.com/office/drawing/2012/chart" uri="{CE6537A1-D6FC-4f65-9D91-7224C49458BB}">
                  <c15:layout/>
                </c:ext>
              </c:extLst>
            </c:dLbl>
            <c:dLbl>
              <c:idx val="17"/>
              <c:layout/>
              <c:dLblPos val="inBase"/>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a:solidFill>
                      <a:schemeClr val="bg1"/>
                    </a:solidFill>
                  </a:defRPr>
                </a:pPr>
                <a:endParaRPr lang="en-US"/>
              </a:p>
            </c:txPr>
            <c:dLblPos val="inBase"/>
            <c:showLegendKey val="0"/>
            <c:showVal val="0"/>
            <c:showCatName val="0"/>
            <c:showSerName val="0"/>
            <c:showPercent val="0"/>
            <c:showBubbleSize val="0"/>
            <c:extLst>
              <c:ext xmlns:c15="http://schemas.microsoft.com/office/drawing/2012/chart" uri="{CE6537A1-D6FC-4f65-9D91-7224C49458BB}">
                <c15:showLeaderLines val="1"/>
              </c:ext>
            </c:extLst>
          </c:dLbls>
          <c:cat>
            <c:strRef>
              <c:f>'For bar chart'!$A$2:$A$35</c:f>
              <c:strCache>
                <c:ptCount val="33"/>
                <c:pt idx="0">
                  <c:v>Gipton and Harehills</c:v>
                </c:pt>
                <c:pt idx="1">
                  <c:v>Burmantofts and Richmond Hill</c:v>
                </c:pt>
                <c:pt idx="2">
                  <c:v>Middleton Park</c:v>
                </c:pt>
                <c:pt idx="3">
                  <c:v>Killingbeck and Seacroft</c:v>
                </c:pt>
                <c:pt idx="4">
                  <c:v>Hunslet and Riverside</c:v>
                </c:pt>
                <c:pt idx="5">
                  <c:v>Farnley and Wortley</c:v>
                </c:pt>
                <c:pt idx="6">
                  <c:v>Armley</c:v>
                </c:pt>
                <c:pt idx="7">
                  <c:v>Chapel Allerton</c:v>
                </c:pt>
                <c:pt idx="8">
                  <c:v>Beeston and Holbeck</c:v>
                </c:pt>
                <c:pt idx="9">
                  <c:v>Bramley and Stanningley</c:v>
                </c:pt>
                <c:pt idx="10">
                  <c:v>Temple Newsam</c:v>
                </c:pt>
                <c:pt idx="11">
                  <c:v>Little London and Woodhouse</c:v>
                </c:pt>
                <c:pt idx="12">
                  <c:v>Cross Gates and Whinmoor</c:v>
                </c:pt>
                <c:pt idx="13">
                  <c:v>Alwoodley</c:v>
                </c:pt>
                <c:pt idx="14">
                  <c:v>Kirkstall</c:v>
                </c:pt>
                <c:pt idx="15">
                  <c:v>Weetwood</c:v>
                </c:pt>
                <c:pt idx="16">
                  <c:v>Moortown</c:v>
                </c:pt>
                <c:pt idx="17">
                  <c:v>Roundhay</c:v>
                </c:pt>
                <c:pt idx="18">
                  <c:v>Rothwell</c:v>
                </c:pt>
                <c:pt idx="19">
                  <c:v>Morley South</c:v>
                </c:pt>
                <c:pt idx="20">
                  <c:v>Otley and Yeadon</c:v>
                </c:pt>
                <c:pt idx="21">
                  <c:v>Ardsley and Robin Hood</c:v>
                </c:pt>
                <c:pt idx="22">
                  <c:v>Pudsey</c:v>
                </c:pt>
                <c:pt idx="23">
                  <c:v>Headingley and Hyde Park</c:v>
                </c:pt>
                <c:pt idx="24">
                  <c:v>Adel and Wharfedale</c:v>
                </c:pt>
                <c:pt idx="25">
                  <c:v>Morley North</c:v>
                </c:pt>
                <c:pt idx="26">
                  <c:v>Kippax and Methley</c:v>
                </c:pt>
                <c:pt idx="27">
                  <c:v>Calverley and Farsley</c:v>
                </c:pt>
                <c:pt idx="28">
                  <c:v>Horsforth</c:v>
                </c:pt>
                <c:pt idx="29">
                  <c:v>Guiseley and Rawdon</c:v>
                </c:pt>
                <c:pt idx="30">
                  <c:v>Garforth and Swillington</c:v>
                </c:pt>
                <c:pt idx="31">
                  <c:v>Wetherby</c:v>
                </c:pt>
                <c:pt idx="32">
                  <c:v>Harewood</c:v>
                </c:pt>
              </c:strCache>
            </c:strRef>
          </c:cat>
          <c:val>
            <c:numRef>
              <c:f>'For bar chart'!$B$2:$B$35</c:f>
              <c:numCache>
                <c:formatCode>General</c:formatCode>
                <c:ptCount val="33"/>
                <c:pt idx="0">
                  <c:v>16</c:v>
                </c:pt>
                <c:pt idx="1">
                  <c:v>13</c:v>
                </c:pt>
                <c:pt idx="2">
                  <c:v>13</c:v>
                </c:pt>
                <c:pt idx="3">
                  <c:v>10</c:v>
                </c:pt>
                <c:pt idx="4">
                  <c:v>9</c:v>
                </c:pt>
                <c:pt idx="5">
                  <c:v>7</c:v>
                </c:pt>
                <c:pt idx="6">
                  <c:v>6</c:v>
                </c:pt>
                <c:pt idx="7">
                  <c:v>6</c:v>
                </c:pt>
                <c:pt idx="8">
                  <c:v>6</c:v>
                </c:pt>
                <c:pt idx="9">
                  <c:v>4</c:v>
                </c:pt>
                <c:pt idx="10">
                  <c:v>4</c:v>
                </c:pt>
                <c:pt idx="11">
                  <c:v>3</c:v>
                </c:pt>
                <c:pt idx="12">
                  <c:v>2</c:v>
                </c:pt>
                <c:pt idx="13">
                  <c:v>2</c:v>
                </c:pt>
                <c:pt idx="14">
                  <c:v>1</c:v>
                </c:pt>
                <c:pt idx="15">
                  <c:v>1</c:v>
                </c:pt>
                <c:pt idx="16">
                  <c:v>1</c:v>
                </c:pt>
                <c:pt idx="17">
                  <c:v>1</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numCache>
            </c:numRef>
          </c:val>
        </c:ser>
        <c:ser>
          <c:idx val="1"/>
          <c:order val="1"/>
          <c:tx>
            <c:v>2</c:v>
          </c:tx>
          <c:spPr>
            <a:ln>
              <a:solidFill>
                <a:sysClr val="window" lastClr="FFFFFF"/>
              </a:solidFill>
            </a:ln>
          </c:spPr>
          <c:invertIfNegative val="0"/>
          <c:cat>
            <c:strRef>
              <c:f>'For bar chart'!$A$2:$A$35</c:f>
              <c:strCache>
                <c:ptCount val="33"/>
                <c:pt idx="0">
                  <c:v>Gipton and Harehills</c:v>
                </c:pt>
                <c:pt idx="1">
                  <c:v>Burmantofts and Richmond Hill</c:v>
                </c:pt>
                <c:pt idx="2">
                  <c:v>Middleton Park</c:v>
                </c:pt>
                <c:pt idx="3">
                  <c:v>Killingbeck and Seacroft</c:v>
                </c:pt>
                <c:pt idx="4">
                  <c:v>Hunslet and Riverside</c:v>
                </c:pt>
                <c:pt idx="5">
                  <c:v>Farnley and Wortley</c:v>
                </c:pt>
                <c:pt idx="6">
                  <c:v>Armley</c:v>
                </c:pt>
                <c:pt idx="7">
                  <c:v>Chapel Allerton</c:v>
                </c:pt>
                <c:pt idx="8">
                  <c:v>Beeston and Holbeck</c:v>
                </c:pt>
                <c:pt idx="9">
                  <c:v>Bramley and Stanningley</c:v>
                </c:pt>
                <c:pt idx="10">
                  <c:v>Temple Newsam</c:v>
                </c:pt>
                <c:pt idx="11">
                  <c:v>Little London and Woodhouse</c:v>
                </c:pt>
                <c:pt idx="12">
                  <c:v>Cross Gates and Whinmoor</c:v>
                </c:pt>
                <c:pt idx="13">
                  <c:v>Alwoodley</c:v>
                </c:pt>
                <c:pt idx="14">
                  <c:v>Kirkstall</c:v>
                </c:pt>
                <c:pt idx="15">
                  <c:v>Weetwood</c:v>
                </c:pt>
                <c:pt idx="16">
                  <c:v>Moortown</c:v>
                </c:pt>
                <c:pt idx="17">
                  <c:v>Roundhay</c:v>
                </c:pt>
                <c:pt idx="18">
                  <c:v>Rothwell</c:v>
                </c:pt>
                <c:pt idx="19">
                  <c:v>Morley South</c:v>
                </c:pt>
                <c:pt idx="20">
                  <c:v>Otley and Yeadon</c:v>
                </c:pt>
                <c:pt idx="21">
                  <c:v>Ardsley and Robin Hood</c:v>
                </c:pt>
                <c:pt idx="22">
                  <c:v>Pudsey</c:v>
                </c:pt>
                <c:pt idx="23">
                  <c:v>Headingley and Hyde Park</c:v>
                </c:pt>
                <c:pt idx="24">
                  <c:v>Adel and Wharfedale</c:v>
                </c:pt>
                <c:pt idx="25">
                  <c:v>Morley North</c:v>
                </c:pt>
                <c:pt idx="26">
                  <c:v>Kippax and Methley</c:v>
                </c:pt>
                <c:pt idx="27">
                  <c:v>Calverley and Farsley</c:v>
                </c:pt>
                <c:pt idx="28">
                  <c:v>Horsforth</c:v>
                </c:pt>
                <c:pt idx="29">
                  <c:v>Guiseley and Rawdon</c:v>
                </c:pt>
                <c:pt idx="30">
                  <c:v>Garforth and Swillington</c:v>
                </c:pt>
                <c:pt idx="31">
                  <c:v>Wetherby</c:v>
                </c:pt>
                <c:pt idx="32">
                  <c:v>Harewood</c:v>
                </c:pt>
              </c:strCache>
            </c:strRef>
          </c:cat>
          <c:val>
            <c:numRef>
              <c:f>'For bar chart'!$C$2:$C$35</c:f>
              <c:numCache>
                <c:formatCode>General</c:formatCode>
                <c:ptCount val="33"/>
                <c:pt idx="0">
                  <c:v>1</c:v>
                </c:pt>
                <c:pt idx="1">
                  <c:v>1</c:v>
                </c:pt>
                <c:pt idx="2">
                  <c:v>1</c:v>
                </c:pt>
                <c:pt idx="3">
                  <c:v>3</c:v>
                </c:pt>
                <c:pt idx="4">
                  <c:v>2</c:v>
                </c:pt>
                <c:pt idx="5">
                  <c:v>1</c:v>
                </c:pt>
                <c:pt idx="6">
                  <c:v>4</c:v>
                </c:pt>
                <c:pt idx="7">
                  <c:v>2</c:v>
                </c:pt>
                <c:pt idx="8">
                  <c:v>1</c:v>
                </c:pt>
                <c:pt idx="9">
                  <c:v>3</c:v>
                </c:pt>
                <c:pt idx="10">
                  <c:v>0</c:v>
                </c:pt>
                <c:pt idx="11">
                  <c:v>4</c:v>
                </c:pt>
                <c:pt idx="12">
                  <c:v>2</c:v>
                </c:pt>
                <c:pt idx="13">
                  <c:v>1</c:v>
                </c:pt>
                <c:pt idx="14">
                  <c:v>3</c:v>
                </c:pt>
                <c:pt idx="15">
                  <c:v>1</c:v>
                </c:pt>
                <c:pt idx="16">
                  <c:v>1</c:v>
                </c:pt>
                <c:pt idx="17">
                  <c:v>0</c:v>
                </c:pt>
                <c:pt idx="18">
                  <c:v>3</c:v>
                </c:pt>
                <c:pt idx="19">
                  <c:v>2</c:v>
                </c:pt>
                <c:pt idx="20">
                  <c:v>2</c:v>
                </c:pt>
                <c:pt idx="21">
                  <c:v>2</c:v>
                </c:pt>
                <c:pt idx="22">
                  <c:v>1</c:v>
                </c:pt>
                <c:pt idx="23">
                  <c:v>1</c:v>
                </c:pt>
                <c:pt idx="24">
                  <c:v>1</c:v>
                </c:pt>
                <c:pt idx="25">
                  <c:v>0</c:v>
                </c:pt>
                <c:pt idx="26">
                  <c:v>0</c:v>
                </c:pt>
                <c:pt idx="27">
                  <c:v>0</c:v>
                </c:pt>
                <c:pt idx="28">
                  <c:v>0</c:v>
                </c:pt>
                <c:pt idx="29">
                  <c:v>0</c:v>
                </c:pt>
                <c:pt idx="30">
                  <c:v>0</c:v>
                </c:pt>
                <c:pt idx="31">
                  <c:v>0</c:v>
                </c:pt>
                <c:pt idx="32">
                  <c:v>0</c:v>
                </c:pt>
              </c:numCache>
            </c:numRef>
          </c:val>
        </c:ser>
        <c:ser>
          <c:idx val="2"/>
          <c:order val="2"/>
          <c:tx>
            <c:v>3</c:v>
          </c:tx>
          <c:spPr>
            <a:ln>
              <a:solidFill>
                <a:sysClr val="window" lastClr="FFFFFF"/>
              </a:solidFill>
            </a:ln>
          </c:spPr>
          <c:invertIfNegative val="0"/>
          <c:cat>
            <c:strRef>
              <c:f>'For bar chart'!$A$2:$A$35</c:f>
              <c:strCache>
                <c:ptCount val="33"/>
                <c:pt idx="0">
                  <c:v>Gipton and Harehills</c:v>
                </c:pt>
                <c:pt idx="1">
                  <c:v>Burmantofts and Richmond Hill</c:v>
                </c:pt>
                <c:pt idx="2">
                  <c:v>Middleton Park</c:v>
                </c:pt>
                <c:pt idx="3">
                  <c:v>Killingbeck and Seacroft</c:v>
                </c:pt>
                <c:pt idx="4">
                  <c:v>Hunslet and Riverside</c:v>
                </c:pt>
                <c:pt idx="5">
                  <c:v>Farnley and Wortley</c:v>
                </c:pt>
                <c:pt idx="6">
                  <c:v>Armley</c:v>
                </c:pt>
                <c:pt idx="7">
                  <c:v>Chapel Allerton</c:v>
                </c:pt>
                <c:pt idx="8">
                  <c:v>Beeston and Holbeck</c:v>
                </c:pt>
                <c:pt idx="9">
                  <c:v>Bramley and Stanningley</c:v>
                </c:pt>
                <c:pt idx="10">
                  <c:v>Temple Newsam</c:v>
                </c:pt>
                <c:pt idx="11">
                  <c:v>Little London and Woodhouse</c:v>
                </c:pt>
                <c:pt idx="12">
                  <c:v>Cross Gates and Whinmoor</c:v>
                </c:pt>
                <c:pt idx="13">
                  <c:v>Alwoodley</c:v>
                </c:pt>
                <c:pt idx="14">
                  <c:v>Kirkstall</c:v>
                </c:pt>
                <c:pt idx="15">
                  <c:v>Weetwood</c:v>
                </c:pt>
                <c:pt idx="16">
                  <c:v>Moortown</c:v>
                </c:pt>
                <c:pt idx="17">
                  <c:v>Roundhay</c:v>
                </c:pt>
                <c:pt idx="18">
                  <c:v>Rothwell</c:v>
                </c:pt>
                <c:pt idx="19">
                  <c:v>Morley South</c:v>
                </c:pt>
                <c:pt idx="20">
                  <c:v>Otley and Yeadon</c:v>
                </c:pt>
                <c:pt idx="21">
                  <c:v>Ardsley and Robin Hood</c:v>
                </c:pt>
                <c:pt idx="22">
                  <c:v>Pudsey</c:v>
                </c:pt>
                <c:pt idx="23">
                  <c:v>Headingley and Hyde Park</c:v>
                </c:pt>
                <c:pt idx="24">
                  <c:v>Adel and Wharfedale</c:v>
                </c:pt>
                <c:pt idx="25">
                  <c:v>Morley North</c:v>
                </c:pt>
                <c:pt idx="26">
                  <c:v>Kippax and Methley</c:v>
                </c:pt>
                <c:pt idx="27">
                  <c:v>Calverley and Farsley</c:v>
                </c:pt>
                <c:pt idx="28">
                  <c:v>Horsforth</c:v>
                </c:pt>
                <c:pt idx="29">
                  <c:v>Guiseley and Rawdon</c:v>
                </c:pt>
                <c:pt idx="30">
                  <c:v>Garforth and Swillington</c:v>
                </c:pt>
                <c:pt idx="31">
                  <c:v>Wetherby</c:v>
                </c:pt>
                <c:pt idx="32">
                  <c:v>Harewood</c:v>
                </c:pt>
              </c:strCache>
            </c:strRef>
          </c:cat>
          <c:val>
            <c:numRef>
              <c:f>'For bar chart'!$D$2:$D$35</c:f>
              <c:numCache>
                <c:formatCode>General</c:formatCode>
                <c:ptCount val="33"/>
                <c:pt idx="0">
                  <c:v>0</c:v>
                </c:pt>
                <c:pt idx="1">
                  <c:v>1</c:v>
                </c:pt>
                <c:pt idx="2">
                  <c:v>0</c:v>
                </c:pt>
                <c:pt idx="3">
                  <c:v>1</c:v>
                </c:pt>
                <c:pt idx="4">
                  <c:v>1</c:v>
                </c:pt>
                <c:pt idx="5">
                  <c:v>0</c:v>
                </c:pt>
                <c:pt idx="6">
                  <c:v>2</c:v>
                </c:pt>
                <c:pt idx="7">
                  <c:v>0</c:v>
                </c:pt>
                <c:pt idx="8">
                  <c:v>5</c:v>
                </c:pt>
                <c:pt idx="9">
                  <c:v>5</c:v>
                </c:pt>
                <c:pt idx="10">
                  <c:v>1</c:v>
                </c:pt>
                <c:pt idx="11">
                  <c:v>3</c:v>
                </c:pt>
                <c:pt idx="12">
                  <c:v>2</c:v>
                </c:pt>
                <c:pt idx="13">
                  <c:v>0</c:v>
                </c:pt>
                <c:pt idx="14">
                  <c:v>4</c:v>
                </c:pt>
                <c:pt idx="15">
                  <c:v>0</c:v>
                </c:pt>
                <c:pt idx="16">
                  <c:v>0</c:v>
                </c:pt>
                <c:pt idx="17">
                  <c:v>0</c:v>
                </c:pt>
                <c:pt idx="18">
                  <c:v>1</c:v>
                </c:pt>
                <c:pt idx="19">
                  <c:v>2</c:v>
                </c:pt>
                <c:pt idx="20">
                  <c:v>1</c:v>
                </c:pt>
                <c:pt idx="21">
                  <c:v>0</c:v>
                </c:pt>
                <c:pt idx="22">
                  <c:v>4</c:v>
                </c:pt>
                <c:pt idx="23">
                  <c:v>2</c:v>
                </c:pt>
                <c:pt idx="24">
                  <c:v>1</c:v>
                </c:pt>
                <c:pt idx="25">
                  <c:v>3</c:v>
                </c:pt>
                <c:pt idx="26">
                  <c:v>3</c:v>
                </c:pt>
                <c:pt idx="27">
                  <c:v>1</c:v>
                </c:pt>
                <c:pt idx="28">
                  <c:v>1</c:v>
                </c:pt>
                <c:pt idx="29">
                  <c:v>1</c:v>
                </c:pt>
                <c:pt idx="30">
                  <c:v>0</c:v>
                </c:pt>
                <c:pt idx="31">
                  <c:v>0</c:v>
                </c:pt>
                <c:pt idx="32">
                  <c:v>0</c:v>
                </c:pt>
              </c:numCache>
            </c:numRef>
          </c:val>
        </c:ser>
        <c:ser>
          <c:idx val="3"/>
          <c:order val="3"/>
          <c:tx>
            <c:v>4</c:v>
          </c:tx>
          <c:spPr>
            <a:ln>
              <a:solidFill>
                <a:sysClr val="window" lastClr="FFFFFF"/>
              </a:solidFill>
            </a:ln>
          </c:spPr>
          <c:invertIfNegative val="0"/>
          <c:cat>
            <c:strRef>
              <c:f>'For bar chart'!$A$2:$A$35</c:f>
              <c:strCache>
                <c:ptCount val="33"/>
                <c:pt idx="0">
                  <c:v>Gipton and Harehills</c:v>
                </c:pt>
                <c:pt idx="1">
                  <c:v>Burmantofts and Richmond Hill</c:v>
                </c:pt>
                <c:pt idx="2">
                  <c:v>Middleton Park</c:v>
                </c:pt>
                <c:pt idx="3">
                  <c:v>Killingbeck and Seacroft</c:v>
                </c:pt>
                <c:pt idx="4">
                  <c:v>Hunslet and Riverside</c:v>
                </c:pt>
                <c:pt idx="5">
                  <c:v>Farnley and Wortley</c:v>
                </c:pt>
                <c:pt idx="6">
                  <c:v>Armley</c:v>
                </c:pt>
                <c:pt idx="7">
                  <c:v>Chapel Allerton</c:v>
                </c:pt>
                <c:pt idx="8">
                  <c:v>Beeston and Holbeck</c:v>
                </c:pt>
                <c:pt idx="9">
                  <c:v>Bramley and Stanningley</c:v>
                </c:pt>
                <c:pt idx="10">
                  <c:v>Temple Newsam</c:v>
                </c:pt>
                <c:pt idx="11">
                  <c:v>Little London and Woodhouse</c:v>
                </c:pt>
                <c:pt idx="12">
                  <c:v>Cross Gates and Whinmoor</c:v>
                </c:pt>
                <c:pt idx="13">
                  <c:v>Alwoodley</c:v>
                </c:pt>
                <c:pt idx="14">
                  <c:v>Kirkstall</c:v>
                </c:pt>
                <c:pt idx="15">
                  <c:v>Weetwood</c:v>
                </c:pt>
                <c:pt idx="16">
                  <c:v>Moortown</c:v>
                </c:pt>
                <c:pt idx="17">
                  <c:v>Roundhay</c:v>
                </c:pt>
                <c:pt idx="18">
                  <c:v>Rothwell</c:v>
                </c:pt>
                <c:pt idx="19">
                  <c:v>Morley South</c:v>
                </c:pt>
                <c:pt idx="20">
                  <c:v>Otley and Yeadon</c:v>
                </c:pt>
                <c:pt idx="21">
                  <c:v>Ardsley and Robin Hood</c:v>
                </c:pt>
                <c:pt idx="22">
                  <c:v>Pudsey</c:v>
                </c:pt>
                <c:pt idx="23">
                  <c:v>Headingley and Hyde Park</c:v>
                </c:pt>
                <c:pt idx="24">
                  <c:v>Adel and Wharfedale</c:v>
                </c:pt>
                <c:pt idx="25">
                  <c:v>Morley North</c:v>
                </c:pt>
                <c:pt idx="26">
                  <c:v>Kippax and Methley</c:v>
                </c:pt>
                <c:pt idx="27">
                  <c:v>Calverley and Farsley</c:v>
                </c:pt>
                <c:pt idx="28">
                  <c:v>Horsforth</c:v>
                </c:pt>
                <c:pt idx="29">
                  <c:v>Guiseley and Rawdon</c:v>
                </c:pt>
                <c:pt idx="30">
                  <c:v>Garforth and Swillington</c:v>
                </c:pt>
                <c:pt idx="31">
                  <c:v>Wetherby</c:v>
                </c:pt>
                <c:pt idx="32">
                  <c:v>Harewood</c:v>
                </c:pt>
              </c:strCache>
            </c:strRef>
          </c:cat>
          <c:val>
            <c:numRef>
              <c:f>'For bar chart'!$E$2:$E$35</c:f>
              <c:numCache>
                <c:formatCode>General</c:formatCode>
                <c:ptCount val="33"/>
                <c:pt idx="0">
                  <c:v>0</c:v>
                </c:pt>
                <c:pt idx="1">
                  <c:v>0</c:v>
                </c:pt>
                <c:pt idx="2">
                  <c:v>2</c:v>
                </c:pt>
                <c:pt idx="3">
                  <c:v>0</c:v>
                </c:pt>
                <c:pt idx="4">
                  <c:v>2</c:v>
                </c:pt>
                <c:pt idx="5">
                  <c:v>1</c:v>
                </c:pt>
                <c:pt idx="6">
                  <c:v>1</c:v>
                </c:pt>
                <c:pt idx="7">
                  <c:v>0</c:v>
                </c:pt>
                <c:pt idx="8">
                  <c:v>3</c:v>
                </c:pt>
                <c:pt idx="9">
                  <c:v>3</c:v>
                </c:pt>
                <c:pt idx="10">
                  <c:v>0</c:v>
                </c:pt>
                <c:pt idx="11">
                  <c:v>2</c:v>
                </c:pt>
                <c:pt idx="12">
                  <c:v>1</c:v>
                </c:pt>
                <c:pt idx="13">
                  <c:v>0</c:v>
                </c:pt>
                <c:pt idx="14">
                  <c:v>1</c:v>
                </c:pt>
                <c:pt idx="15">
                  <c:v>0</c:v>
                </c:pt>
                <c:pt idx="16">
                  <c:v>0</c:v>
                </c:pt>
                <c:pt idx="17">
                  <c:v>2</c:v>
                </c:pt>
                <c:pt idx="18">
                  <c:v>0</c:v>
                </c:pt>
                <c:pt idx="19">
                  <c:v>3</c:v>
                </c:pt>
                <c:pt idx="20">
                  <c:v>0</c:v>
                </c:pt>
                <c:pt idx="21">
                  <c:v>2</c:v>
                </c:pt>
                <c:pt idx="22">
                  <c:v>2</c:v>
                </c:pt>
                <c:pt idx="23">
                  <c:v>3</c:v>
                </c:pt>
                <c:pt idx="24">
                  <c:v>0</c:v>
                </c:pt>
                <c:pt idx="25">
                  <c:v>1</c:v>
                </c:pt>
                <c:pt idx="26">
                  <c:v>0</c:v>
                </c:pt>
                <c:pt idx="27">
                  <c:v>2</c:v>
                </c:pt>
                <c:pt idx="28">
                  <c:v>1</c:v>
                </c:pt>
                <c:pt idx="29">
                  <c:v>0</c:v>
                </c:pt>
                <c:pt idx="30">
                  <c:v>1</c:v>
                </c:pt>
                <c:pt idx="31">
                  <c:v>1</c:v>
                </c:pt>
                <c:pt idx="32">
                  <c:v>0</c:v>
                </c:pt>
              </c:numCache>
            </c:numRef>
          </c:val>
        </c:ser>
        <c:ser>
          <c:idx val="4"/>
          <c:order val="4"/>
          <c:tx>
            <c:v>5</c:v>
          </c:tx>
          <c:spPr>
            <a:ln>
              <a:solidFill>
                <a:sysClr val="window" lastClr="FFFFFF"/>
              </a:solidFill>
            </a:ln>
          </c:spPr>
          <c:invertIfNegative val="0"/>
          <c:cat>
            <c:strRef>
              <c:f>'For bar chart'!$A$2:$A$35</c:f>
              <c:strCache>
                <c:ptCount val="33"/>
                <c:pt idx="0">
                  <c:v>Gipton and Harehills</c:v>
                </c:pt>
                <c:pt idx="1">
                  <c:v>Burmantofts and Richmond Hill</c:v>
                </c:pt>
                <c:pt idx="2">
                  <c:v>Middleton Park</c:v>
                </c:pt>
                <c:pt idx="3">
                  <c:v>Killingbeck and Seacroft</c:v>
                </c:pt>
                <c:pt idx="4">
                  <c:v>Hunslet and Riverside</c:v>
                </c:pt>
                <c:pt idx="5">
                  <c:v>Farnley and Wortley</c:v>
                </c:pt>
                <c:pt idx="6">
                  <c:v>Armley</c:v>
                </c:pt>
                <c:pt idx="7">
                  <c:v>Chapel Allerton</c:v>
                </c:pt>
                <c:pt idx="8">
                  <c:v>Beeston and Holbeck</c:v>
                </c:pt>
                <c:pt idx="9">
                  <c:v>Bramley and Stanningley</c:v>
                </c:pt>
                <c:pt idx="10">
                  <c:v>Temple Newsam</c:v>
                </c:pt>
                <c:pt idx="11">
                  <c:v>Little London and Woodhouse</c:v>
                </c:pt>
                <c:pt idx="12">
                  <c:v>Cross Gates and Whinmoor</c:v>
                </c:pt>
                <c:pt idx="13">
                  <c:v>Alwoodley</c:v>
                </c:pt>
                <c:pt idx="14">
                  <c:v>Kirkstall</c:v>
                </c:pt>
                <c:pt idx="15">
                  <c:v>Weetwood</c:v>
                </c:pt>
                <c:pt idx="16">
                  <c:v>Moortown</c:v>
                </c:pt>
                <c:pt idx="17">
                  <c:v>Roundhay</c:v>
                </c:pt>
                <c:pt idx="18">
                  <c:v>Rothwell</c:v>
                </c:pt>
                <c:pt idx="19">
                  <c:v>Morley South</c:v>
                </c:pt>
                <c:pt idx="20">
                  <c:v>Otley and Yeadon</c:v>
                </c:pt>
                <c:pt idx="21">
                  <c:v>Ardsley and Robin Hood</c:v>
                </c:pt>
                <c:pt idx="22">
                  <c:v>Pudsey</c:v>
                </c:pt>
                <c:pt idx="23">
                  <c:v>Headingley and Hyde Park</c:v>
                </c:pt>
                <c:pt idx="24">
                  <c:v>Adel and Wharfedale</c:v>
                </c:pt>
                <c:pt idx="25">
                  <c:v>Morley North</c:v>
                </c:pt>
                <c:pt idx="26">
                  <c:v>Kippax and Methley</c:v>
                </c:pt>
                <c:pt idx="27">
                  <c:v>Calverley and Farsley</c:v>
                </c:pt>
                <c:pt idx="28">
                  <c:v>Horsforth</c:v>
                </c:pt>
                <c:pt idx="29">
                  <c:v>Guiseley and Rawdon</c:v>
                </c:pt>
                <c:pt idx="30">
                  <c:v>Garforth and Swillington</c:v>
                </c:pt>
                <c:pt idx="31">
                  <c:v>Wetherby</c:v>
                </c:pt>
                <c:pt idx="32">
                  <c:v>Harewood</c:v>
                </c:pt>
              </c:strCache>
            </c:strRef>
          </c:cat>
          <c:val>
            <c:numRef>
              <c:f>'For bar chart'!$F$2:$F$35</c:f>
              <c:numCache>
                <c:formatCode>General</c:formatCode>
                <c:ptCount val="33"/>
                <c:pt idx="0">
                  <c:v>0</c:v>
                </c:pt>
                <c:pt idx="1">
                  <c:v>0</c:v>
                </c:pt>
                <c:pt idx="2">
                  <c:v>1</c:v>
                </c:pt>
                <c:pt idx="3">
                  <c:v>1</c:v>
                </c:pt>
                <c:pt idx="4">
                  <c:v>4</c:v>
                </c:pt>
                <c:pt idx="5">
                  <c:v>5</c:v>
                </c:pt>
                <c:pt idx="6">
                  <c:v>1</c:v>
                </c:pt>
                <c:pt idx="7">
                  <c:v>2</c:v>
                </c:pt>
                <c:pt idx="8">
                  <c:v>0</c:v>
                </c:pt>
                <c:pt idx="9">
                  <c:v>0</c:v>
                </c:pt>
                <c:pt idx="10">
                  <c:v>2</c:v>
                </c:pt>
                <c:pt idx="11">
                  <c:v>1</c:v>
                </c:pt>
                <c:pt idx="12">
                  <c:v>2</c:v>
                </c:pt>
                <c:pt idx="13">
                  <c:v>0</c:v>
                </c:pt>
                <c:pt idx="14">
                  <c:v>1</c:v>
                </c:pt>
                <c:pt idx="15">
                  <c:v>2</c:v>
                </c:pt>
                <c:pt idx="16">
                  <c:v>0</c:v>
                </c:pt>
                <c:pt idx="17">
                  <c:v>1</c:v>
                </c:pt>
                <c:pt idx="18">
                  <c:v>1</c:v>
                </c:pt>
                <c:pt idx="19">
                  <c:v>0</c:v>
                </c:pt>
                <c:pt idx="20">
                  <c:v>1</c:v>
                </c:pt>
                <c:pt idx="21">
                  <c:v>2</c:v>
                </c:pt>
                <c:pt idx="22">
                  <c:v>1</c:v>
                </c:pt>
                <c:pt idx="23">
                  <c:v>3</c:v>
                </c:pt>
                <c:pt idx="24">
                  <c:v>0</c:v>
                </c:pt>
                <c:pt idx="25">
                  <c:v>1</c:v>
                </c:pt>
                <c:pt idx="26">
                  <c:v>2</c:v>
                </c:pt>
                <c:pt idx="27">
                  <c:v>0</c:v>
                </c:pt>
                <c:pt idx="28">
                  <c:v>1</c:v>
                </c:pt>
                <c:pt idx="29">
                  <c:v>1</c:v>
                </c:pt>
                <c:pt idx="30">
                  <c:v>2</c:v>
                </c:pt>
                <c:pt idx="31">
                  <c:v>0</c:v>
                </c:pt>
                <c:pt idx="32">
                  <c:v>0</c:v>
                </c:pt>
              </c:numCache>
            </c:numRef>
          </c:val>
        </c:ser>
        <c:ser>
          <c:idx val="5"/>
          <c:order val="5"/>
          <c:tx>
            <c:v>6</c:v>
          </c:tx>
          <c:spPr>
            <a:ln>
              <a:solidFill>
                <a:sysClr val="window" lastClr="FFFFFF"/>
              </a:solidFill>
            </a:ln>
          </c:spPr>
          <c:invertIfNegative val="0"/>
          <c:cat>
            <c:strRef>
              <c:f>'For bar chart'!$A$2:$A$35</c:f>
              <c:strCache>
                <c:ptCount val="33"/>
                <c:pt idx="0">
                  <c:v>Gipton and Harehills</c:v>
                </c:pt>
                <c:pt idx="1">
                  <c:v>Burmantofts and Richmond Hill</c:v>
                </c:pt>
                <c:pt idx="2">
                  <c:v>Middleton Park</c:v>
                </c:pt>
                <c:pt idx="3">
                  <c:v>Killingbeck and Seacroft</c:v>
                </c:pt>
                <c:pt idx="4">
                  <c:v>Hunslet and Riverside</c:v>
                </c:pt>
                <c:pt idx="5">
                  <c:v>Farnley and Wortley</c:v>
                </c:pt>
                <c:pt idx="6">
                  <c:v>Armley</c:v>
                </c:pt>
                <c:pt idx="7">
                  <c:v>Chapel Allerton</c:v>
                </c:pt>
                <c:pt idx="8">
                  <c:v>Beeston and Holbeck</c:v>
                </c:pt>
                <c:pt idx="9">
                  <c:v>Bramley and Stanningley</c:v>
                </c:pt>
                <c:pt idx="10">
                  <c:v>Temple Newsam</c:v>
                </c:pt>
                <c:pt idx="11">
                  <c:v>Little London and Woodhouse</c:v>
                </c:pt>
                <c:pt idx="12">
                  <c:v>Cross Gates and Whinmoor</c:v>
                </c:pt>
                <c:pt idx="13">
                  <c:v>Alwoodley</c:v>
                </c:pt>
                <c:pt idx="14">
                  <c:v>Kirkstall</c:v>
                </c:pt>
                <c:pt idx="15">
                  <c:v>Weetwood</c:v>
                </c:pt>
                <c:pt idx="16">
                  <c:v>Moortown</c:v>
                </c:pt>
                <c:pt idx="17">
                  <c:v>Roundhay</c:v>
                </c:pt>
                <c:pt idx="18">
                  <c:v>Rothwell</c:v>
                </c:pt>
                <c:pt idx="19">
                  <c:v>Morley South</c:v>
                </c:pt>
                <c:pt idx="20">
                  <c:v>Otley and Yeadon</c:v>
                </c:pt>
                <c:pt idx="21">
                  <c:v>Ardsley and Robin Hood</c:v>
                </c:pt>
                <c:pt idx="22">
                  <c:v>Pudsey</c:v>
                </c:pt>
                <c:pt idx="23">
                  <c:v>Headingley and Hyde Park</c:v>
                </c:pt>
                <c:pt idx="24">
                  <c:v>Adel and Wharfedale</c:v>
                </c:pt>
                <c:pt idx="25">
                  <c:v>Morley North</c:v>
                </c:pt>
                <c:pt idx="26">
                  <c:v>Kippax and Methley</c:v>
                </c:pt>
                <c:pt idx="27">
                  <c:v>Calverley and Farsley</c:v>
                </c:pt>
                <c:pt idx="28">
                  <c:v>Horsforth</c:v>
                </c:pt>
                <c:pt idx="29">
                  <c:v>Guiseley and Rawdon</c:v>
                </c:pt>
                <c:pt idx="30">
                  <c:v>Garforth and Swillington</c:v>
                </c:pt>
                <c:pt idx="31">
                  <c:v>Wetherby</c:v>
                </c:pt>
                <c:pt idx="32">
                  <c:v>Harewood</c:v>
                </c:pt>
              </c:strCache>
            </c:strRef>
          </c:cat>
          <c:val>
            <c:numRef>
              <c:f>'For bar chart'!$G$2:$G$35</c:f>
              <c:numCache>
                <c:formatCode>General</c:formatCode>
                <c:ptCount val="33"/>
                <c:pt idx="0">
                  <c:v>0</c:v>
                </c:pt>
                <c:pt idx="1">
                  <c:v>0</c:v>
                </c:pt>
                <c:pt idx="2">
                  <c:v>1</c:v>
                </c:pt>
                <c:pt idx="3">
                  <c:v>1</c:v>
                </c:pt>
                <c:pt idx="4">
                  <c:v>0</c:v>
                </c:pt>
                <c:pt idx="5">
                  <c:v>2</c:v>
                </c:pt>
                <c:pt idx="6">
                  <c:v>1</c:v>
                </c:pt>
                <c:pt idx="7">
                  <c:v>0</c:v>
                </c:pt>
                <c:pt idx="8">
                  <c:v>0</c:v>
                </c:pt>
                <c:pt idx="9">
                  <c:v>0</c:v>
                </c:pt>
                <c:pt idx="10">
                  <c:v>1</c:v>
                </c:pt>
                <c:pt idx="11">
                  <c:v>0</c:v>
                </c:pt>
                <c:pt idx="12">
                  <c:v>1</c:v>
                </c:pt>
                <c:pt idx="13">
                  <c:v>1</c:v>
                </c:pt>
                <c:pt idx="14">
                  <c:v>1</c:v>
                </c:pt>
                <c:pt idx="15">
                  <c:v>0</c:v>
                </c:pt>
                <c:pt idx="16">
                  <c:v>2</c:v>
                </c:pt>
                <c:pt idx="17">
                  <c:v>2</c:v>
                </c:pt>
                <c:pt idx="18">
                  <c:v>1</c:v>
                </c:pt>
                <c:pt idx="19">
                  <c:v>2</c:v>
                </c:pt>
                <c:pt idx="20">
                  <c:v>2</c:v>
                </c:pt>
                <c:pt idx="21">
                  <c:v>1</c:v>
                </c:pt>
                <c:pt idx="22">
                  <c:v>3</c:v>
                </c:pt>
                <c:pt idx="23">
                  <c:v>4</c:v>
                </c:pt>
                <c:pt idx="24">
                  <c:v>0</c:v>
                </c:pt>
                <c:pt idx="25">
                  <c:v>2</c:v>
                </c:pt>
                <c:pt idx="26">
                  <c:v>4</c:v>
                </c:pt>
                <c:pt idx="27">
                  <c:v>3</c:v>
                </c:pt>
                <c:pt idx="28">
                  <c:v>1</c:v>
                </c:pt>
                <c:pt idx="29">
                  <c:v>1</c:v>
                </c:pt>
                <c:pt idx="30">
                  <c:v>1</c:v>
                </c:pt>
                <c:pt idx="31">
                  <c:v>2</c:v>
                </c:pt>
                <c:pt idx="32">
                  <c:v>0</c:v>
                </c:pt>
              </c:numCache>
            </c:numRef>
          </c:val>
        </c:ser>
        <c:ser>
          <c:idx val="6"/>
          <c:order val="6"/>
          <c:tx>
            <c:v>7</c:v>
          </c:tx>
          <c:spPr>
            <a:solidFill>
              <a:srgbClr val="E0FFA1"/>
            </a:solidFill>
            <a:ln>
              <a:solidFill>
                <a:sysClr val="window" lastClr="FFFFFF"/>
              </a:solidFill>
            </a:ln>
          </c:spPr>
          <c:invertIfNegative val="0"/>
          <c:cat>
            <c:strRef>
              <c:f>'For bar chart'!$A$2:$A$35</c:f>
              <c:strCache>
                <c:ptCount val="33"/>
                <c:pt idx="0">
                  <c:v>Gipton and Harehills</c:v>
                </c:pt>
                <c:pt idx="1">
                  <c:v>Burmantofts and Richmond Hill</c:v>
                </c:pt>
                <c:pt idx="2">
                  <c:v>Middleton Park</c:v>
                </c:pt>
                <c:pt idx="3">
                  <c:v>Killingbeck and Seacroft</c:v>
                </c:pt>
                <c:pt idx="4">
                  <c:v>Hunslet and Riverside</c:v>
                </c:pt>
                <c:pt idx="5">
                  <c:v>Farnley and Wortley</c:v>
                </c:pt>
                <c:pt idx="6">
                  <c:v>Armley</c:v>
                </c:pt>
                <c:pt idx="7">
                  <c:v>Chapel Allerton</c:v>
                </c:pt>
                <c:pt idx="8">
                  <c:v>Beeston and Holbeck</c:v>
                </c:pt>
                <c:pt idx="9">
                  <c:v>Bramley and Stanningley</c:v>
                </c:pt>
                <c:pt idx="10">
                  <c:v>Temple Newsam</c:v>
                </c:pt>
                <c:pt idx="11">
                  <c:v>Little London and Woodhouse</c:v>
                </c:pt>
                <c:pt idx="12">
                  <c:v>Cross Gates and Whinmoor</c:v>
                </c:pt>
                <c:pt idx="13">
                  <c:v>Alwoodley</c:v>
                </c:pt>
                <c:pt idx="14">
                  <c:v>Kirkstall</c:v>
                </c:pt>
                <c:pt idx="15">
                  <c:v>Weetwood</c:v>
                </c:pt>
                <c:pt idx="16">
                  <c:v>Moortown</c:v>
                </c:pt>
                <c:pt idx="17">
                  <c:v>Roundhay</c:v>
                </c:pt>
                <c:pt idx="18">
                  <c:v>Rothwell</c:v>
                </c:pt>
                <c:pt idx="19">
                  <c:v>Morley South</c:v>
                </c:pt>
                <c:pt idx="20">
                  <c:v>Otley and Yeadon</c:v>
                </c:pt>
                <c:pt idx="21">
                  <c:v>Ardsley and Robin Hood</c:v>
                </c:pt>
                <c:pt idx="22">
                  <c:v>Pudsey</c:v>
                </c:pt>
                <c:pt idx="23">
                  <c:v>Headingley and Hyde Park</c:v>
                </c:pt>
                <c:pt idx="24">
                  <c:v>Adel and Wharfedale</c:v>
                </c:pt>
                <c:pt idx="25">
                  <c:v>Morley North</c:v>
                </c:pt>
                <c:pt idx="26">
                  <c:v>Kippax and Methley</c:v>
                </c:pt>
                <c:pt idx="27">
                  <c:v>Calverley and Farsley</c:v>
                </c:pt>
                <c:pt idx="28">
                  <c:v>Horsforth</c:v>
                </c:pt>
                <c:pt idx="29">
                  <c:v>Guiseley and Rawdon</c:v>
                </c:pt>
                <c:pt idx="30">
                  <c:v>Garforth and Swillington</c:v>
                </c:pt>
                <c:pt idx="31">
                  <c:v>Wetherby</c:v>
                </c:pt>
                <c:pt idx="32">
                  <c:v>Harewood</c:v>
                </c:pt>
              </c:strCache>
            </c:strRef>
          </c:cat>
          <c:val>
            <c:numRef>
              <c:f>'For bar chart'!$H$2:$H$35</c:f>
              <c:numCache>
                <c:formatCode>General</c:formatCode>
                <c:ptCount val="33"/>
                <c:pt idx="0">
                  <c:v>0</c:v>
                </c:pt>
                <c:pt idx="1">
                  <c:v>0</c:v>
                </c:pt>
                <c:pt idx="2">
                  <c:v>0</c:v>
                </c:pt>
                <c:pt idx="3">
                  <c:v>0</c:v>
                </c:pt>
                <c:pt idx="4">
                  <c:v>0</c:v>
                </c:pt>
                <c:pt idx="5">
                  <c:v>0</c:v>
                </c:pt>
                <c:pt idx="6">
                  <c:v>0</c:v>
                </c:pt>
                <c:pt idx="7">
                  <c:v>2</c:v>
                </c:pt>
                <c:pt idx="8">
                  <c:v>0</c:v>
                </c:pt>
                <c:pt idx="9">
                  <c:v>1</c:v>
                </c:pt>
                <c:pt idx="10">
                  <c:v>1</c:v>
                </c:pt>
                <c:pt idx="11">
                  <c:v>0</c:v>
                </c:pt>
                <c:pt idx="12">
                  <c:v>1</c:v>
                </c:pt>
                <c:pt idx="13">
                  <c:v>0</c:v>
                </c:pt>
                <c:pt idx="14">
                  <c:v>0</c:v>
                </c:pt>
                <c:pt idx="15">
                  <c:v>2</c:v>
                </c:pt>
                <c:pt idx="16">
                  <c:v>5</c:v>
                </c:pt>
                <c:pt idx="17">
                  <c:v>5</c:v>
                </c:pt>
                <c:pt idx="18">
                  <c:v>3</c:v>
                </c:pt>
                <c:pt idx="19">
                  <c:v>2</c:v>
                </c:pt>
                <c:pt idx="20">
                  <c:v>4</c:v>
                </c:pt>
                <c:pt idx="21">
                  <c:v>1</c:v>
                </c:pt>
                <c:pt idx="22">
                  <c:v>4</c:v>
                </c:pt>
                <c:pt idx="23">
                  <c:v>2</c:v>
                </c:pt>
                <c:pt idx="24">
                  <c:v>1</c:v>
                </c:pt>
                <c:pt idx="25">
                  <c:v>3</c:v>
                </c:pt>
                <c:pt idx="26">
                  <c:v>2</c:v>
                </c:pt>
                <c:pt idx="27">
                  <c:v>5</c:v>
                </c:pt>
                <c:pt idx="28">
                  <c:v>0</c:v>
                </c:pt>
                <c:pt idx="29">
                  <c:v>1</c:v>
                </c:pt>
                <c:pt idx="30">
                  <c:v>2</c:v>
                </c:pt>
                <c:pt idx="31">
                  <c:v>0</c:v>
                </c:pt>
                <c:pt idx="32">
                  <c:v>3</c:v>
                </c:pt>
              </c:numCache>
            </c:numRef>
          </c:val>
        </c:ser>
        <c:ser>
          <c:idx val="7"/>
          <c:order val="7"/>
          <c:tx>
            <c:v>8</c:v>
          </c:tx>
          <c:spPr>
            <a:solidFill>
              <a:srgbClr val="DFFF70"/>
            </a:solidFill>
            <a:ln>
              <a:solidFill>
                <a:sysClr val="window" lastClr="FFFFFF"/>
              </a:solidFill>
            </a:ln>
          </c:spPr>
          <c:invertIfNegative val="0"/>
          <c:cat>
            <c:strRef>
              <c:f>'For bar chart'!$A$2:$A$35</c:f>
              <c:strCache>
                <c:ptCount val="33"/>
                <c:pt idx="0">
                  <c:v>Gipton and Harehills</c:v>
                </c:pt>
                <c:pt idx="1">
                  <c:v>Burmantofts and Richmond Hill</c:v>
                </c:pt>
                <c:pt idx="2">
                  <c:v>Middleton Park</c:v>
                </c:pt>
                <c:pt idx="3">
                  <c:v>Killingbeck and Seacroft</c:v>
                </c:pt>
                <c:pt idx="4">
                  <c:v>Hunslet and Riverside</c:v>
                </c:pt>
                <c:pt idx="5">
                  <c:v>Farnley and Wortley</c:v>
                </c:pt>
                <c:pt idx="6">
                  <c:v>Armley</c:v>
                </c:pt>
                <c:pt idx="7">
                  <c:v>Chapel Allerton</c:v>
                </c:pt>
                <c:pt idx="8">
                  <c:v>Beeston and Holbeck</c:v>
                </c:pt>
                <c:pt idx="9">
                  <c:v>Bramley and Stanningley</c:v>
                </c:pt>
                <c:pt idx="10">
                  <c:v>Temple Newsam</c:v>
                </c:pt>
                <c:pt idx="11">
                  <c:v>Little London and Woodhouse</c:v>
                </c:pt>
                <c:pt idx="12">
                  <c:v>Cross Gates and Whinmoor</c:v>
                </c:pt>
                <c:pt idx="13">
                  <c:v>Alwoodley</c:v>
                </c:pt>
                <c:pt idx="14">
                  <c:v>Kirkstall</c:v>
                </c:pt>
                <c:pt idx="15">
                  <c:v>Weetwood</c:v>
                </c:pt>
                <c:pt idx="16">
                  <c:v>Moortown</c:v>
                </c:pt>
                <c:pt idx="17">
                  <c:v>Roundhay</c:v>
                </c:pt>
                <c:pt idx="18">
                  <c:v>Rothwell</c:v>
                </c:pt>
                <c:pt idx="19">
                  <c:v>Morley South</c:v>
                </c:pt>
                <c:pt idx="20">
                  <c:v>Otley and Yeadon</c:v>
                </c:pt>
                <c:pt idx="21">
                  <c:v>Ardsley and Robin Hood</c:v>
                </c:pt>
                <c:pt idx="22">
                  <c:v>Pudsey</c:v>
                </c:pt>
                <c:pt idx="23">
                  <c:v>Headingley and Hyde Park</c:v>
                </c:pt>
                <c:pt idx="24">
                  <c:v>Adel and Wharfedale</c:v>
                </c:pt>
                <c:pt idx="25">
                  <c:v>Morley North</c:v>
                </c:pt>
                <c:pt idx="26">
                  <c:v>Kippax and Methley</c:v>
                </c:pt>
                <c:pt idx="27">
                  <c:v>Calverley and Farsley</c:v>
                </c:pt>
                <c:pt idx="28">
                  <c:v>Horsforth</c:v>
                </c:pt>
                <c:pt idx="29">
                  <c:v>Guiseley and Rawdon</c:v>
                </c:pt>
                <c:pt idx="30">
                  <c:v>Garforth and Swillington</c:v>
                </c:pt>
                <c:pt idx="31">
                  <c:v>Wetherby</c:v>
                </c:pt>
                <c:pt idx="32">
                  <c:v>Harewood</c:v>
                </c:pt>
              </c:strCache>
            </c:strRef>
          </c:cat>
          <c:val>
            <c:numRef>
              <c:f>'For bar chart'!$I$2:$I$35</c:f>
              <c:numCache>
                <c:formatCode>General</c:formatCode>
                <c:ptCount val="33"/>
                <c:pt idx="0">
                  <c:v>0</c:v>
                </c:pt>
                <c:pt idx="1">
                  <c:v>0</c:v>
                </c:pt>
                <c:pt idx="2">
                  <c:v>0</c:v>
                </c:pt>
                <c:pt idx="3">
                  <c:v>0</c:v>
                </c:pt>
                <c:pt idx="4">
                  <c:v>0</c:v>
                </c:pt>
                <c:pt idx="5">
                  <c:v>0</c:v>
                </c:pt>
                <c:pt idx="6">
                  <c:v>0</c:v>
                </c:pt>
                <c:pt idx="7">
                  <c:v>0</c:v>
                </c:pt>
                <c:pt idx="8">
                  <c:v>0</c:v>
                </c:pt>
                <c:pt idx="9">
                  <c:v>0</c:v>
                </c:pt>
                <c:pt idx="10">
                  <c:v>3</c:v>
                </c:pt>
                <c:pt idx="11">
                  <c:v>0</c:v>
                </c:pt>
                <c:pt idx="12">
                  <c:v>4</c:v>
                </c:pt>
                <c:pt idx="13">
                  <c:v>1</c:v>
                </c:pt>
                <c:pt idx="14">
                  <c:v>1</c:v>
                </c:pt>
                <c:pt idx="15">
                  <c:v>5</c:v>
                </c:pt>
                <c:pt idx="16">
                  <c:v>1</c:v>
                </c:pt>
                <c:pt idx="17">
                  <c:v>2</c:v>
                </c:pt>
                <c:pt idx="18">
                  <c:v>3</c:v>
                </c:pt>
                <c:pt idx="19">
                  <c:v>2</c:v>
                </c:pt>
                <c:pt idx="20">
                  <c:v>2</c:v>
                </c:pt>
                <c:pt idx="21">
                  <c:v>3</c:v>
                </c:pt>
                <c:pt idx="22">
                  <c:v>1</c:v>
                </c:pt>
                <c:pt idx="23">
                  <c:v>1</c:v>
                </c:pt>
                <c:pt idx="24">
                  <c:v>1</c:v>
                </c:pt>
                <c:pt idx="25">
                  <c:v>2</c:v>
                </c:pt>
                <c:pt idx="26">
                  <c:v>0</c:v>
                </c:pt>
                <c:pt idx="27">
                  <c:v>1</c:v>
                </c:pt>
                <c:pt idx="28">
                  <c:v>1</c:v>
                </c:pt>
                <c:pt idx="29">
                  <c:v>3</c:v>
                </c:pt>
                <c:pt idx="30">
                  <c:v>4</c:v>
                </c:pt>
                <c:pt idx="31">
                  <c:v>2</c:v>
                </c:pt>
                <c:pt idx="32">
                  <c:v>3</c:v>
                </c:pt>
              </c:numCache>
            </c:numRef>
          </c:val>
        </c:ser>
        <c:ser>
          <c:idx val="8"/>
          <c:order val="8"/>
          <c:tx>
            <c:v>9</c:v>
          </c:tx>
          <c:spPr>
            <a:solidFill>
              <a:srgbClr val="F0FF30"/>
            </a:solidFill>
            <a:ln>
              <a:solidFill>
                <a:sysClr val="window" lastClr="FFFFFF"/>
              </a:solidFill>
            </a:ln>
          </c:spPr>
          <c:invertIfNegative val="0"/>
          <c:cat>
            <c:strRef>
              <c:f>'For bar chart'!$A$2:$A$35</c:f>
              <c:strCache>
                <c:ptCount val="33"/>
                <c:pt idx="0">
                  <c:v>Gipton and Harehills</c:v>
                </c:pt>
                <c:pt idx="1">
                  <c:v>Burmantofts and Richmond Hill</c:v>
                </c:pt>
                <c:pt idx="2">
                  <c:v>Middleton Park</c:v>
                </c:pt>
                <c:pt idx="3">
                  <c:v>Killingbeck and Seacroft</c:v>
                </c:pt>
                <c:pt idx="4">
                  <c:v>Hunslet and Riverside</c:v>
                </c:pt>
                <c:pt idx="5">
                  <c:v>Farnley and Wortley</c:v>
                </c:pt>
                <c:pt idx="6">
                  <c:v>Armley</c:v>
                </c:pt>
                <c:pt idx="7">
                  <c:v>Chapel Allerton</c:v>
                </c:pt>
                <c:pt idx="8">
                  <c:v>Beeston and Holbeck</c:v>
                </c:pt>
                <c:pt idx="9">
                  <c:v>Bramley and Stanningley</c:v>
                </c:pt>
                <c:pt idx="10">
                  <c:v>Temple Newsam</c:v>
                </c:pt>
                <c:pt idx="11">
                  <c:v>Little London and Woodhouse</c:v>
                </c:pt>
                <c:pt idx="12">
                  <c:v>Cross Gates and Whinmoor</c:v>
                </c:pt>
                <c:pt idx="13">
                  <c:v>Alwoodley</c:v>
                </c:pt>
                <c:pt idx="14">
                  <c:v>Kirkstall</c:v>
                </c:pt>
                <c:pt idx="15">
                  <c:v>Weetwood</c:v>
                </c:pt>
                <c:pt idx="16">
                  <c:v>Moortown</c:v>
                </c:pt>
                <c:pt idx="17">
                  <c:v>Roundhay</c:v>
                </c:pt>
                <c:pt idx="18">
                  <c:v>Rothwell</c:v>
                </c:pt>
                <c:pt idx="19">
                  <c:v>Morley South</c:v>
                </c:pt>
                <c:pt idx="20">
                  <c:v>Otley and Yeadon</c:v>
                </c:pt>
                <c:pt idx="21">
                  <c:v>Ardsley and Robin Hood</c:v>
                </c:pt>
                <c:pt idx="22">
                  <c:v>Pudsey</c:v>
                </c:pt>
                <c:pt idx="23">
                  <c:v>Headingley and Hyde Park</c:v>
                </c:pt>
                <c:pt idx="24">
                  <c:v>Adel and Wharfedale</c:v>
                </c:pt>
                <c:pt idx="25">
                  <c:v>Morley North</c:v>
                </c:pt>
                <c:pt idx="26">
                  <c:v>Kippax and Methley</c:v>
                </c:pt>
                <c:pt idx="27">
                  <c:v>Calverley and Farsley</c:v>
                </c:pt>
                <c:pt idx="28">
                  <c:v>Horsforth</c:v>
                </c:pt>
                <c:pt idx="29">
                  <c:v>Guiseley and Rawdon</c:v>
                </c:pt>
                <c:pt idx="30">
                  <c:v>Garforth and Swillington</c:v>
                </c:pt>
                <c:pt idx="31">
                  <c:v>Wetherby</c:v>
                </c:pt>
                <c:pt idx="32">
                  <c:v>Harewood</c:v>
                </c:pt>
              </c:strCache>
            </c:strRef>
          </c:cat>
          <c:val>
            <c:numRef>
              <c:f>'For bar chart'!$J$2:$J$35</c:f>
              <c:numCache>
                <c:formatCode>General</c:formatCode>
                <c:ptCount val="33"/>
                <c:pt idx="0">
                  <c:v>0</c:v>
                </c:pt>
                <c:pt idx="1">
                  <c:v>0</c:v>
                </c:pt>
                <c:pt idx="2">
                  <c:v>0</c:v>
                </c:pt>
                <c:pt idx="3">
                  <c:v>0</c:v>
                </c:pt>
                <c:pt idx="4">
                  <c:v>0</c:v>
                </c:pt>
                <c:pt idx="5">
                  <c:v>0</c:v>
                </c:pt>
                <c:pt idx="6">
                  <c:v>0</c:v>
                </c:pt>
                <c:pt idx="7">
                  <c:v>1</c:v>
                </c:pt>
                <c:pt idx="8">
                  <c:v>0</c:v>
                </c:pt>
                <c:pt idx="9">
                  <c:v>0</c:v>
                </c:pt>
                <c:pt idx="10">
                  <c:v>2</c:v>
                </c:pt>
                <c:pt idx="11">
                  <c:v>0</c:v>
                </c:pt>
                <c:pt idx="12">
                  <c:v>0</c:v>
                </c:pt>
                <c:pt idx="13">
                  <c:v>5</c:v>
                </c:pt>
                <c:pt idx="14">
                  <c:v>0</c:v>
                </c:pt>
                <c:pt idx="15">
                  <c:v>2</c:v>
                </c:pt>
                <c:pt idx="16">
                  <c:v>3</c:v>
                </c:pt>
                <c:pt idx="17">
                  <c:v>3</c:v>
                </c:pt>
                <c:pt idx="18">
                  <c:v>1</c:v>
                </c:pt>
                <c:pt idx="19">
                  <c:v>0</c:v>
                </c:pt>
                <c:pt idx="20">
                  <c:v>2</c:v>
                </c:pt>
                <c:pt idx="21">
                  <c:v>0</c:v>
                </c:pt>
                <c:pt idx="22">
                  <c:v>0</c:v>
                </c:pt>
                <c:pt idx="23">
                  <c:v>0</c:v>
                </c:pt>
                <c:pt idx="24">
                  <c:v>3</c:v>
                </c:pt>
                <c:pt idx="25">
                  <c:v>2</c:v>
                </c:pt>
                <c:pt idx="26">
                  <c:v>2</c:v>
                </c:pt>
                <c:pt idx="27">
                  <c:v>1</c:v>
                </c:pt>
                <c:pt idx="28">
                  <c:v>3</c:v>
                </c:pt>
                <c:pt idx="29">
                  <c:v>2</c:v>
                </c:pt>
                <c:pt idx="30">
                  <c:v>2</c:v>
                </c:pt>
                <c:pt idx="31">
                  <c:v>2</c:v>
                </c:pt>
                <c:pt idx="32">
                  <c:v>4</c:v>
                </c:pt>
              </c:numCache>
            </c:numRef>
          </c:val>
        </c:ser>
        <c:ser>
          <c:idx val="9"/>
          <c:order val="9"/>
          <c:tx>
            <c:v>Least deprived 10%</c:v>
          </c:tx>
          <c:spPr>
            <a:solidFill>
              <a:srgbClr val="FFFF00"/>
            </a:solidFill>
            <a:ln>
              <a:solidFill>
                <a:sysClr val="window" lastClr="FFFFFF"/>
              </a:solidFill>
            </a:ln>
          </c:spPr>
          <c:invertIfNegative val="0"/>
          <c:cat>
            <c:strRef>
              <c:f>'For bar chart'!$A$2:$A$35</c:f>
              <c:strCache>
                <c:ptCount val="33"/>
                <c:pt idx="0">
                  <c:v>Gipton and Harehills</c:v>
                </c:pt>
                <c:pt idx="1">
                  <c:v>Burmantofts and Richmond Hill</c:v>
                </c:pt>
                <c:pt idx="2">
                  <c:v>Middleton Park</c:v>
                </c:pt>
                <c:pt idx="3">
                  <c:v>Killingbeck and Seacroft</c:v>
                </c:pt>
                <c:pt idx="4">
                  <c:v>Hunslet and Riverside</c:v>
                </c:pt>
                <c:pt idx="5">
                  <c:v>Farnley and Wortley</c:v>
                </c:pt>
                <c:pt idx="6">
                  <c:v>Armley</c:v>
                </c:pt>
                <c:pt idx="7">
                  <c:v>Chapel Allerton</c:v>
                </c:pt>
                <c:pt idx="8">
                  <c:v>Beeston and Holbeck</c:v>
                </c:pt>
                <c:pt idx="9">
                  <c:v>Bramley and Stanningley</c:v>
                </c:pt>
                <c:pt idx="10">
                  <c:v>Temple Newsam</c:v>
                </c:pt>
                <c:pt idx="11">
                  <c:v>Little London and Woodhouse</c:v>
                </c:pt>
                <c:pt idx="12">
                  <c:v>Cross Gates and Whinmoor</c:v>
                </c:pt>
                <c:pt idx="13">
                  <c:v>Alwoodley</c:v>
                </c:pt>
                <c:pt idx="14">
                  <c:v>Kirkstall</c:v>
                </c:pt>
                <c:pt idx="15">
                  <c:v>Weetwood</c:v>
                </c:pt>
                <c:pt idx="16">
                  <c:v>Moortown</c:v>
                </c:pt>
                <c:pt idx="17">
                  <c:v>Roundhay</c:v>
                </c:pt>
                <c:pt idx="18">
                  <c:v>Rothwell</c:v>
                </c:pt>
                <c:pt idx="19">
                  <c:v>Morley South</c:v>
                </c:pt>
                <c:pt idx="20">
                  <c:v>Otley and Yeadon</c:v>
                </c:pt>
                <c:pt idx="21">
                  <c:v>Ardsley and Robin Hood</c:v>
                </c:pt>
                <c:pt idx="22">
                  <c:v>Pudsey</c:v>
                </c:pt>
                <c:pt idx="23">
                  <c:v>Headingley and Hyde Park</c:v>
                </c:pt>
                <c:pt idx="24">
                  <c:v>Adel and Wharfedale</c:v>
                </c:pt>
                <c:pt idx="25">
                  <c:v>Morley North</c:v>
                </c:pt>
                <c:pt idx="26">
                  <c:v>Kippax and Methley</c:v>
                </c:pt>
                <c:pt idx="27">
                  <c:v>Calverley and Farsley</c:v>
                </c:pt>
                <c:pt idx="28">
                  <c:v>Horsforth</c:v>
                </c:pt>
                <c:pt idx="29">
                  <c:v>Guiseley and Rawdon</c:v>
                </c:pt>
                <c:pt idx="30">
                  <c:v>Garforth and Swillington</c:v>
                </c:pt>
                <c:pt idx="31">
                  <c:v>Wetherby</c:v>
                </c:pt>
                <c:pt idx="32">
                  <c:v>Harewood</c:v>
                </c:pt>
              </c:strCache>
            </c:strRef>
          </c:cat>
          <c:val>
            <c:numRef>
              <c:f>'For bar chart'!$K$2:$K$35</c:f>
              <c:numCache>
                <c:formatCode>General</c:formatCode>
                <c:ptCount val="33"/>
                <c:pt idx="0">
                  <c:v>0</c:v>
                </c:pt>
                <c:pt idx="1">
                  <c:v>0</c:v>
                </c:pt>
                <c:pt idx="2">
                  <c:v>0</c:v>
                </c:pt>
                <c:pt idx="3">
                  <c:v>0</c:v>
                </c:pt>
                <c:pt idx="4">
                  <c:v>0</c:v>
                </c:pt>
                <c:pt idx="5">
                  <c:v>0</c:v>
                </c:pt>
                <c:pt idx="6">
                  <c:v>0</c:v>
                </c:pt>
                <c:pt idx="7">
                  <c:v>0</c:v>
                </c:pt>
                <c:pt idx="8">
                  <c:v>0</c:v>
                </c:pt>
                <c:pt idx="9">
                  <c:v>0</c:v>
                </c:pt>
                <c:pt idx="10">
                  <c:v>0</c:v>
                </c:pt>
                <c:pt idx="11">
                  <c:v>0</c:v>
                </c:pt>
                <c:pt idx="12">
                  <c:v>0</c:v>
                </c:pt>
                <c:pt idx="13">
                  <c:v>5</c:v>
                </c:pt>
                <c:pt idx="14">
                  <c:v>0</c:v>
                </c:pt>
                <c:pt idx="15">
                  <c:v>0</c:v>
                </c:pt>
                <c:pt idx="16">
                  <c:v>1</c:v>
                </c:pt>
                <c:pt idx="17">
                  <c:v>0</c:v>
                </c:pt>
                <c:pt idx="18">
                  <c:v>0</c:v>
                </c:pt>
                <c:pt idx="19">
                  <c:v>0</c:v>
                </c:pt>
                <c:pt idx="20">
                  <c:v>1</c:v>
                </c:pt>
                <c:pt idx="21">
                  <c:v>2</c:v>
                </c:pt>
                <c:pt idx="22">
                  <c:v>0</c:v>
                </c:pt>
                <c:pt idx="23">
                  <c:v>0</c:v>
                </c:pt>
                <c:pt idx="24">
                  <c:v>7</c:v>
                </c:pt>
                <c:pt idx="25">
                  <c:v>1</c:v>
                </c:pt>
                <c:pt idx="26">
                  <c:v>1</c:v>
                </c:pt>
                <c:pt idx="27">
                  <c:v>1</c:v>
                </c:pt>
                <c:pt idx="28">
                  <c:v>6</c:v>
                </c:pt>
                <c:pt idx="29">
                  <c:v>5</c:v>
                </c:pt>
                <c:pt idx="30">
                  <c:v>1</c:v>
                </c:pt>
                <c:pt idx="31">
                  <c:v>7</c:v>
                </c:pt>
                <c:pt idx="32">
                  <c:v>3</c:v>
                </c:pt>
              </c:numCache>
            </c:numRef>
          </c:val>
        </c:ser>
        <c:dLbls>
          <c:showLegendKey val="0"/>
          <c:showVal val="0"/>
          <c:showCatName val="0"/>
          <c:showSerName val="0"/>
          <c:showPercent val="0"/>
          <c:showBubbleSize val="0"/>
        </c:dLbls>
        <c:gapWidth val="50"/>
        <c:overlap val="100"/>
        <c:axId val="467085176"/>
        <c:axId val="467085960"/>
      </c:barChart>
      <c:catAx>
        <c:axId val="467085176"/>
        <c:scaling>
          <c:orientation val="maxMin"/>
        </c:scaling>
        <c:delete val="0"/>
        <c:axPos val="l"/>
        <c:numFmt formatCode="General" sourceLinked="1"/>
        <c:majorTickMark val="none"/>
        <c:minorTickMark val="none"/>
        <c:tickLblPos val="nextTo"/>
        <c:crossAx val="467085960"/>
        <c:crosses val="autoZero"/>
        <c:auto val="1"/>
        <c:lblAlgn val="ctr"/>
        <c:lblOffset val="100"/>
        <c:noMultiLvlLbl val="0"/>
      </c:catAx>
      <c:valAx>
        <c:axId val="467085960"/>
        <c:scaling>
          <c:orientation val="minMax"/>
        </c:scaling>
        <c:delete val="1"/>
        <c:axPos val="t"/>
        <c:majorGridlines>
          <c:spPr>
            <a:ln>
              <a:noFill/>
            </a:ln>
          </c:spPr>
        </c:majorGridlines>
        <c:numFmt formatCode="General" sourceLinked="1"/>
        <c:majorTickMark val="out"/>
        <c:minorTickMark val="none"/>
        <c:tickLblPos val="nextTo"/>
        <c:crossAx val="467085176"/>
        <c:crosses val="autoZero"/>
        <c:crossBetween val="between"/>
      </c:valAx>
    </c:plotArea>
    <c:legend>
      <c:legendPos val="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IMDRuth">
    <a:dk1>
      <a:sysClr val="windowText" lastClr="000000"/>
    </a:dk1>
    <a:lt1>
      <a:sysClr val="window" lastClr="FFFFFF"/>
    </a:lt1>
    <a:dk2>
      <a:srgbClr val="1F497D"/>
    </a:dk2>
    <a:lt2>
      <a:srgbClr val="EEECE1"/>
    </a:lt2>
    <a:accent1>
      <a:srgbClr val="0000FF"/>
    </a:accent1>
    <a:accent2>
      <a:srgbClr val="2180FF"/>
    </a:accent2>
    <a:accent3>
      <a:srgbClr val="40FFFF"/>
    </a:accent3>
    <a:accent4>
      <a:srgbClr val="70FFD1"/>
    </a:accent4>
    <a:accent5>
      <a:srgbClr val="90FFB0"/>
    </a:accent5>
    <a:accent6>
      <a:srgbClr val="C0E1B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0B048-519D-4014-87E5-C679AC0D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40</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Ruth</dc:creator>
  <cp:keywords/>
  <dc:description/>
  <cp:lastModifiedBy>Addison, Ruth</cp:lastModifiedBy>
  <cp:revision>2</cp:revision>
  <dcterms:created xsi:type="dcterms:W3CDTF">2018-05-10T13:25:00Z</dcterms:created>
  <dcterms:modified xsi:type="dcterms:W3CDTF">2018-06-03T13:55:00Z</dcterms:modified>
</cp:coreProperties>
</file>